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F2CD7" w14:textId="68F8C3F1" w:rsidR="007100FF" w:rsidRDefault="00083491" w:rsidP="00083491">
      <w:pPr>
        <w:spacing w:before="0" w:after="0"/>
        <w:jc w:val="center"/>
        <w:rPr>
          <w:rFonts w:eastAsia="Times New Roman" w:cs="Times New Roman"/>
          <w:szCs w:val="24"/>
          <w:lang w:eastAsia="lv-LV"/>
        </w:rPr>
      </w:pPr>
      <w:bookmarkStart w:id="0" w:name="piel-457311"/>
      <w:bookmarkEnd w:id="0"/>
      <w:r w:rsidRPr="00083491">
        <w:rPr>
          <w:rFonts w:eastAsia="Times New Roman" w:cs="Times New Roman"/>
          <w:b/>
          <w:bCs/>
          <w:szCs w:val="24"/>
          <w:lang w:eastAsia="lv-LV"/>
        </w:rPr>
        <w:t>Anotācija pētījumam</w:t>
      </w:r>
      <w:r w:rsidRPr="00083491">
        <w:rPr>
          <w:rFonts w:eastAsia="Times New Roman" w:cs="Times New Roman"/>
          <w:szCs w:val="24"/>
          <w:lang w:eastAsia="lv-LV"/>
        </w:rPr>
        <w:t xml:space="preserve"> “</w:t>
      </w:r>
      <w:r w:rsidR="0059078B">
        <w:rPr>
          <w:rFonts w:eastAsia="Times New Roman" w:cs="Times New Roman"/>
          <w:szCs w:val="24"/>
          <w:lang w:eastAsia="lv-LV"/>
        </w:rPr>
        <w:t>A</w:t>
      </w:r>
      <w:r w:rsidR="0059078B" w:rsidRPr="0059078B">
        <w:rPr>
          <w:rFonts w:eastAsia="Times New Roman" w:cs="Times New Roman"/>
          <w:szCs w:val="24"/>
          <w:lang w:eastAsia="lv-LV"/>
        </w:rPr>
        <w:t>tzinum</w:t>
      </w:r>
      <w:r w:rsidR="0059078B">
        <w:rPr>
          <w:rFonts w:eastAsia="Times New Roman" w:cs="Times New Roman"/>
          <w:szCs w:val="24"/>
          <w:lang w:eastAsia="lv-LV"/>
        </w:rPr>
        <w:t>s</w:t>
      </w:r>
      <w:r w:rsidR="0059078B" w:rsidRPr="0059078B">
        <w:rPr>
          <w:rFonts w:eastAsia="Times New Roman" w:cs="Times New Roman"/>
          <w:szCs w:val="24"/>
          <w:lang w:eastAsia="lv-LV"/>
        </w:rPr>
        <w:t xml:space="preserve"> par Latvijas lielo ostu pārvalžu iespējamo pārveidošanu par valsts kapitālsabiedrībām</w:t>
      </w:r>
      <w:r w:rsidRPr="00083491">
        <w:rPr>
          <w:rFonts w:eastAsia="Times New Roman" w:cs="Times New Roman"/>
          <w:szCs w:val="24"/>
          <w:lang w:eastAsia="lv-LV"/>
        </w:rPr>
        <w:t>”</w:t>
      </w:r>
    </w:p>
    <w:p w14:paraId="2A81E4A5" w14:textId="77777777" w:rsidR="00417FFC" w:rsidRPr="007100FF" w:rsidRDefault="00417FFC" w:rsidP="00083491">
      <w:pPr>
        <w:spacing w:before="0" w:after="0"/>
        <w:jc w:val="center"/>
        <w:rPr>
          <w:rFonts w:eastAsia="Times New Roman" w:cs="Times New Roman"/>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4"/>
        <w:gridCol w:w="3641"/>
        <w:gridCol w:w="4115"/>
      </w:tblGrid>
      <w:tr w:rsidR="007100FF" w:rsidRPr="007100FF" w14:paraId="61E31EE4"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71B0D608" w14:textId="62A8C750" w:rsidR="007100FF" w:rsidRDefault="007100FF" w:rsidP="00D56F76">
            <w:pPr>
              <w:spacing w:before="0" w:after="0"/>
              <w:contextualSpacing/>
              <w:rPr>
                <w:rFonts w:eastAsia="Times New Roman" w:cs="Times New Roman"/>
                <w:szCs w:val="24"/>
                <w:lang w:eastAsia="lv-LV"/>
              </w:rPr>
            </w:pPr>
            <w:r w:rsidRPr="007100FF">
              <w:rPr>
                <w:rFonts w:eastAsia="Times New Roman" w:cs="Times New Roman"/>
                <w:b/>
                <w:bCs/>
                <w:szCs w:val="24"/>
                <w:lang w:eastAsia="lv-LV"/>
              </w:rPr>
              <w:t>Pētījuma mērķis, uzdevumi un galvenie rezultāti latviešu valodā</w:t>
            </w:r>
            <w:r w:rsidRPr="007100FF">
              <w:rPr>
                <w:rFonts w:eastAsia="Times New Roman" w:cs="Times New Roman"/>
                <w:b/>
                <w:bCs/>
                <w:szCs w:val="24"/>
                <w:lang w:eastAsia="lv-LV"/>
              </w:rPr>
              <w:br/>
            </w:r>
            <w:r w:rsidRPr="007100FF">
              <w:rPr>
                <w:rFonts w:eastAsia="Times New Roman" w:cs="Times New Roman"/>
                <w:szCs w:val="24"/>
                <w:lang w:eastAsia="lv-LV"/>
              </w:rPr>
              <w:t xml:space="preserve">(brīvā tekstā, aptuveni 150 vārdu) </w:t>
            </w:r>
          </w:p>
          <w:p w14:paraId="7FF32499" w14:textId="77777777" w:rsidR="00D56F76" w:rsidRPr="007100FF" w:rsidRDefault="00D56F76" w:rsidP="00D56F76">
            <w:pPr>
              <w:spacing w:before="0" w:after="0"/>
              <w:contextualSpacing/>
              <w:rPr>
                <w:rFonts w:eastAsia="Times New Roman" w:cs="Times New Roman"/>
                <w:szCs w:val="24"/>
                <w:lang w:eastAsia="lv-LV"/>
              </w:rPr>
            </w:pPr>
          </w:p>
          <w:p w14:paraId="68318631" w14:textId="77777777" w:rsidR="00D56F76" w:rsidRPr="00D56F76" w:rsidRDefault="00D56F76" w:rsidP="00D56F76">
            <w:pPr>
              <w:spacing w:before="0" w:after="0"/>
              <w:contextualSpacing/>
              <w:jc w:val="both"/>
              <w:rPr>
                <w:lang w:eastAsia="lv-LV"/>
              </w:rPr>
            </w:pPr>
            <w:r w:rsidRPr="00D56F76">
              <w:rPr>
                <w:lang w:eastAsia="lv-LV"/>
              </w:rPr>
              <w:t>Darba mērķis ir izvērtēt pastāvošo Latvijas lielo ostu pārvaldības modeli, tā piemērošanas praksi, pieredzi un pārvaldības modeļus ārvalstīs, pastāvošos normatīvos aktus un regulējumu kapitālsabiedrību pārvaldības jomā, sniegt novērtējumu par priekšrocībām un trūkumiem esošā ostu pārvaldības modelī un iespējām ostu pārvaldes pārveidot par kapitālsabiedrībām, kā arī sniegt priekšlikumus rīcībām ostu pārvalžu pārveidošanai par kapitālsabiedrībām.</w:t>
            </w:r>
          </w:p>
          <w:p w14:paraId="4EF5FE23" w14:textId="77777777" w:rsidR="00D56F76" w:rsidRPr="00D56F76" w:rsidRDefault="00D56F76" w:rsidP="00D56F76">
            <w:pPr>
              <w:spacing w:before="60" w:after="60"/>
              <w:jc w:val="both"/>
              <w:rPr>
                <w:highlight w:val="yellow"/>
                <w:lang w:eastAsia="lv-LV"/>
              </w:rPr>
            </w:pPr>
          </w:p>
          <w:p w14:paraId="4E23539D" w14:textId="77777777" w:rsidR="00D56F76" w:rsidRPr="00D56F76" w:rsidRDefault="00D56F76" w:rsidP="00D56F76">
            <w:pPr>
              <w:spacing w:before="60" w:after="60"/>
              <w:jc w:val="both"/>
              <w:rPr>
                <w:lang w:eastAsia="lv-LV"/>
              </w:rPr>
            </w:pPr>
            <w:r w:rsidRPr="00D56F76">
              <w:rPr>
                <w:lang w:eastAsia="lv-LV"/>
              </w:rPr>
              <w:t xml:space="preserve">Pētījumā tika konstatēts, ka ostu pārvaldīšana Eiropas Savienības ostās pārsvarā tiek īstenota ar valstij, pašvaldībai, vai valstij un pašvaldībai piederošām kapitālsabiedrībām. Latvijas ostu pārvaldīšana, izmantojot valsts kapitālsabiedrības, piedāvāta divos veidos: izmantojot vienu kapitālsabiedrību visu trīs lielo ostu pārvaldīšanai, vai veidojot atsevišķas kapitālsabiedrības katras ostas pārvaldīšanai. </w:t>
            </w:r>
          </w:p>
          <w:p w14:paraId="3C4B9224" w14:textId="77777777" w:rsidR="00D56F76" w:rsidRPr="00D56F76" w:rsidRDefault="00D56F76" w:rsidP="00D56F76">
            <w:pPr>
              <w:rPr>
                <w:sz w:val="22"/>
              </w:rPr>
            </w:pPr>
            <w:r w:rsidRPr="00D56F76">
              <w:rPr>
                <w:lang w:eastAsia="lv-LV"/>
              </w:rPr>
              <w:t>Pētījumā analizēti pastāvošie ierobežojumi un nosacījumi, kas jāņem vērā ostas veidojot par kapitālsabiedrībām. Pētījumā atzīts, ka nepastāv šaubas, ka ostu pārvaldība var tikt īstenota arī valsts kapitālsabiedrību pārvaldības struktūras ietvaros, ievērojot pastāvošo normatīvo regulējumu. Ieviešot jauno pārvaldības modeli nepieciešams pieņemt arī lēmumus par kapitālsabiedrības daļu (akciju) sadali starp valsti un pašvaldību, esošo ostu pārvalžu saistību pārņemšanu un virkni citu praktisku jautājumu.</w:t>
            </w:r>
          </w:p>
          <w:p w14:paraId="280FEABE" w14:textId="28FDEB0C" w:rsidR="007100FF" w:rsidRPr="007100FF" w:rsidRDefault="007100FF" w:rsidP="00E0774E">
            <w:pPr>
              <w:spacing w:before="60" w:after="60"/>
              <w:jc w:val="both"/>
              <w:rPr>
                <w:rFonts w:eastAsia="Times New Roman" w:cs="Times New Roman"/>
                <w:szCs w:val="24"/>
                <w:lang w:eastAsia="lv-LV"/>
              </w:rPr>
            </w:pPr>
          </w:p>
        </w:tc>
        <w:tc>
          <w:tcPr>
            <w:tcW w:w="2464" w:type="pct"/>
            <w:tcBorders>
              <w:top w:val="outset" w:sz="6" w:space="0" w:color="auto"/>
              <w:left w:val="outset" w:sz="6" w:space="0" w:color="auto"/>
              <w:bottom w:val="outset" w:sz="6" w:space="0" w:color="auto"/>
              <w:right w:val="outset" w:sz="6" w:space="0" w:color="auto"/>
            </w:tcBorders>
            <w:hideMark/>
          </w:tcPr>
          <w:p w14:paraId="0C254FEB" w14:textId="1E1BB199" w:rsidR="007100FF" w:rsidRPr="00417FFC" w:rsidRDefault="007100FF" w:rsidP="007100FF">
            <w:pPr>
              <w:spacing w:before="0" w:after="0"/>
              <w:rPr>
                <w:rFonts w:eastAsia="Times New Roman" w:cs="Times New Roman"/>
                <w:szCs w:val="24"/>
                <w:lang w:eastAsia="lv-LV"/>
              </w:rPr>
            </w:pPr>
            <w:r w:rsidRPr="00417FFC">
              <w:rPr>
                <w:rFonts w:eastAsia="Times New Roman" w:cs="Times New Roman"/>
                <w:b/>
                <w:bCs/>
                <w:szCs w:val="24"/>
                <w:lang w:eastAsia="lv-LV"/>
              </w:rPr>
              <w:t>Pētījuma mērķis, uzdevumi un galvenie rezultāti angļu valodā</w:t>
            </w:r>
            <w:r w:rsidRPr="00417FFC">
              <w:rPr>
                <w:rFonts w:eastAsia="Times New Roman" w:cs="Times New Roman"/>
                <w:b/>
                <w:bCs/>
                <w:szCs w:val="24"/>
                <w:lang w:eastAsia="lv-LV"/>
              </w:rPr>
              <w:br/>
            </w:r>
            <w:r w:rsidRPr="00417FFC">
              <w:rPr>
                <w:rFonts w:eastAsia="Times New Roman" w:cs="Times New Roman"/>
                <w:szCs w:val="24"/>
                <w:lang w:eastAsia="lv-LV"/>
              </w:rPr>
              <w:t>(brīvā tekstā, aptuveni 150 vārdu)</w:t>
            </w:r>
          </w:p>
          <w:p w14:paraId="2778FED8" w14:textId="77777777" w:rsidR="00D56F76" w:rsidRPr="00417FFC" w:rsidRDefault="00D56F76" w:rsidP="007100FF">
            <w:pPr>
              <w:spacing w:before="0" w:after="0"/>
              <w:rPr>
                <w:rFonts w:eastAsia="Times New Roman" w:cs="Times New Roman"/>
                <w:szCs w:val="24"/>
                <w:lang w:eastAsia="lv-LV"/>
              </w:rPr>
            </w:pPr>
          </w:p>
          <w:p w14:paraId="4BD0484D" w14:textId="77777777" w:rsidR="00D56F76" w:rsidRPr="00D56F76" w:rsidRDefault="00D56F76" w:rsidP="00D56F76">
            <w:pPr>
              <w:spacing w:before="0" w:after="0"/>
              <w:rPr>
                <w:rFonts w:eastAsia="Times New Roman" w:cs="Times New Roman"/>
                <w:szCs w:val="24"/>
                <w:lang w:val="en-GB" w:eastAsia="lv-LV"/>
              </w:rPr>
            </w:pPr>
            <w:r w:rsidRPr="00D56F76">
              <w:rPr>
                <w:rFonts w:eastAsia="Times New Roman" w:cs="Times New Roman"/>
                <w:szCs w:val="24"/>
                <w:lang w:val="en-GB" w:eastAsia="lv-LV"/>
              </w:rPr>
              <w:t>The aim of the work is to evaluate the existing Latvian large port management model, its application practice, experience, and administration models abroad, existing laws and regulations in the field of enterprise management. Additionally, to providing an assessment of the advantages and disadvantages of the existing port management model and opportunities to transform port authorities into companies, as well as to make proposals for actions of transforming port authorities into capital companies.</w:t>
            </w:r>
          </w:p>
          <w:p w14:paraId="10728931" w14:textId="77777777" w:rsidR="00D56F76" w:rsidRPr="00D56F76" w:rsidRDefault="00D56F76" w:rsidP="00D56F76">
            <w:pPr>
              <w:spacing w:before="0" w:after="0"/>
              <w:rPr>
                <w:rFonts w:eastAsia="Times New Roman" w:cs="Times New Roman"/>
                <w:szCs w:val="24"/>
                <w:lang w:val="en-GB" w:eastAsia="lv-LV"/>
              </w:rPr>
            </w:pPr>
          </w:p>
          <w:p w14:paraId="1505E0C4" w14:textId="77777777" w:rsidR="00D56F76" w:rsidRPr="00D56F76" w:rsidRDefault="00D56F76" w:rsidP="00D56F76">
            <w:pPr>
              <w:spacing w:before="0" w:after="0"/>
              <w:rPr>
                <w:rFonts w:eastAsia="Times New Roman" w:cs="Times New Roman"/>
                <w:szCs w:val="24"/>
                <w:lang w:val="en-GB" w:eastAsia="lv-LV"/>
              </w:rPr>
            </w:pPr>
            <w:r w:rsidRPr="00D56F76">
              <w:rPr>
                <w:rFonts w:eastAsia="Times New Roman" w:cs="Times New Roman"/>
                <w:szCs w:val="24"/>
                <w:lang w:val="en-GB" w:eastAsia="lv-LV"/>
              </w:rPr>
              <w:t xml:space="preserve">The study found that port administration at the European Union’s ports mainly are realized by the state, </w:t>
            </w:r>
            <w:proofErr w:type="gramStart"/>
            <w:r w:rsidRPr="00D56F76">
              <w:rPr>
                <w:rFonts w:eastAsia="Times New Roman" w:cs="Times New Roman"/>
                <w:szCs w:val="24"/>
                <w:lang w:val="en-GB" w:eastAsia="lv-LV"/>
              </w:rPr>
              <w:t>as well as,</w:t>
            </w:r>
            <w:proofErr w:type="gramEnd"/>
            <w:r w:rsidRPr="00D56F76">
              <w:rPr>
                <w:rFonts w:eastAsia="Times New Roman" w:cs="Times New Roman"/>
                <w:szCs w:val="24"/>
                <w:lang w:val="en-GB" w:eastAsia="lv-LV"/>
              </w:rPr>
              <w:t xml:space="preserve"> state and municipal owned companies. Management of Latvian ports, operated by state enterprises, is offered in two ways: by using one capital company to manage all three large ports, or by setting up separate companies for each port management.  </w:t>
            </w:r>
          </w:p>
          <w:p w14:paraId="1D8C6904" w14:textId="77777777" w:rsidR="00D56F76" w:rsidRPr="00D56F76" w:rsidRDefault="00D56F76" w:rsidP="00D56F76">
            <w:pPr>
              <w:spacing w:before="0" w:after="0"/>
              <w:rPr>
                <w:rFonts w:eastAsia="Times New Roman" w:cs="Times New Roman"/>
                <w:szCs w:val="24"/>
                <w:lang w:val="en-GB" w:eastAsia="lv-LV"/>
              </w:rPr>
            </w:pPr>
          </w:p>
          <w:p w14:paraId="1ADC2DC5" w14:textId="38286C3A" w:rsidR="0022384B" w:rsidRPr="00D56F76" w:rsidRDefault="00D56F76" w:rsidP="00D56F76">
            <w:pPr>
              <w:spacing w:before="0" w:after="0"/>
              <w:rPr>
                <w:rFonts w:eastAsia="Times New Roman" w:cs="Times New Roman"/>
                <w:szCs w:val="24"/>
                <w:lang w:val="en-GB" w:eastAsia="lv-LV"/>
              </w:rPr>
            </w:pPr>
            <w:r w:rsidRPr="00D56F76">
              <w:rPr>
                <w:rFonts w:eastAsia="Times New Roman" w:cs="Times New Roman"/>
                <w:szCs w:val="24"/>
                <w:lang w:val="en-GB" w:eastAsia="lv-LV"/>
              </w:rPr>
              <w:t xml:space="preserve">The study analyses the existing restrictions and conditions that must be considered when forming ports into companies. The study acknowledges that there is no doubt that port management can also be implemented within the management structure of state-owned companies, in compliance with the existing regulatory framework. With the introduction of the new governance model, it is also necessary to make decisions on the distribution of shares (stocks) of the company between the state and the local government, taking over the responsibilities of the existing </w:t>
            </w:r>
            <w:r w:rsidRPr="00D56F76">
              <w:rPr>
                <w:rFonts w:eastAsia="Times New Roman" w:cs="Times New Roman"/>
                <w:szCs w:val="24"/>
                <w:lang w:val="en-GB" w:eastAsia="lv-LV"/>
              </w:rPr>
              <w:lastRenderedPageBreak/>
              <w:t>port authorities and a number of other practical issues</w:t>
            </w:r>
            <w:r>
              <w:rPr>
                <w:rFonts w:eastAsia="Times New Roman" w:cs="Times New Roman"/>
                <w:szCs w:val="24"/>
                <w:lang w:val="en-GB" w:eastAsia="lv-LV"/>
              </w:rPr>
              <w:t>.</w:t>
            </w:r>
          </w:p>
          <w:p w14:paraId="05AD3BFD" w14:textId="5E5BE5EB" w:rsidR="0022384B" w:rsidRPr="00D56F76" w:rsidRDefault="0022384B" w:rsidP="00E64010">
            <w:pPr>
              <w:spacing w:before="0" w:after="0"/>
              <w:rPr>
                <w:rFonts w:eastAsia="Times New Roman" w:cs="Times New Roman"/>
                <w:szCs w:val="24"/>
                <w:lang w:val="en-GB" w:eastAsia="lv-LV"/>
              </w:rPr>
            </w:pPr>
          </w:p>
        </w:tc>
      </w:tr>
      <w:tr w:rsidR="007100FF" w:rsidRPr="007100FF" w14:paraId="2984339E"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612503B1"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lastRenderedPageBreak/>
              <w:t>Galvenās pētījumā aplūkotās tēmas</w:t>
            </w:r>
          </w:p>
        </w:tc>
        <w:tc>
          <w:tcPr>
            <w:tcW w:w="2464" w:type="pct"/>
            <w:tcBorders>
              <w:top w:val="outset" w:sz="6" w:space="0" w:color="auto"/>
              <w:left w:val="outset" w:sz="6" w:space="0" w:color="auto"/>
              <w:bottom w:val="outset" w:sz="6" w:space="0" w:color="auto"/>
              <w:right w:val="outset" w:sz="6" w:space="0" w:color="auto"/>
            </w:tcBorders>
            <w:hideMark/>
          </w:tcPr>
          <w:p w14:paraId="640B8899" w14:textId="58480D95" w:rsidR="007100FF" w:rsidRPr="007100FF" w:rsidRDefault="0059078B" w:rsidP="005020FB">
            <w:pPr>
              <w:spacing w:before="120" w:after="120"/>
              <w:rPr>
                <w:rFonts w:eastAsia="Times New Roman" w:cs="Times New Roman"/>
                <w:szCs w:val="24"/>
                <w:lang w:eastAsia="lv-LV"/>
              </w:rPr>
            </w:pPr>
            <w:r>
              <w:rPr>
                <w:rFonts w:eastAsia="Times New Roman" w:cs="Times New Roman"/>
                <w:szCs w:val="24"/>
                <w:lang w:eastAsia="lv-LV"/>
              </w:rPr>
              <w:t xml:space="preserve">Ostu pārvaldības funkciju un pārvaldības modeļu </w:t>
            </w:r>
            <w:proofErr w:type="spellStart"/>
            <w:r>
              <w:rPr>
                <w:rFonts w:eastAsia="Times New Roman" w:cs="Times New Roman"/>
                <w:szCs w:val="24"/>
                <w:lang w:eastAsia="lv-LV"/>
              </w:rPr>
              <w:t>izvērtējums</w:t>
            </w:r>
            <w:proofErr w:type="spellEnd"/>
            <w:r w:rsidR="00083491" w:rsidRPr="00083491">
              <w:rPr>
                <w:rFonts w:eastAsia="Times New Roman" w:cs="Times New Roman"/>
                <w:szCs w:val="24"/>
                <w:lang w:eastAsia="lv-LV"/>
              </w:rPr>
              <w:t xml:space="preserve"> </w:t>
            </w:r>
          </w:p>
        </w:tc>
      </w:tr>
      <w:tr w:rsidR="007100FF" w:rsidRPr="007100FF" w14:paraId="49841410"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4FBD0CAA"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Pētījuma pasūtītājs</w:t>
            </w:r>
          </w:p>
        </w:tc>
        <w:tc>
          <w:tcPr>
            <w:tcW w:w="2464" w:type="pct"/>
            <w:tcBorders>
              <w:top w:val="outset" w:sz="6" w:space="0" w:color="auto"/>
              <w:left w:val="outset" w:sz="6" w:space="0" w:color="auto"/>
              <w:bottom w:val="outset" w:sz="6" w:space="0" w:color="auto"/>
              <w:right w:val="outset" w:sz="6" w:space="0" w:color="auto"/>
            </w:tcBorders>
            <w:hideMark/>
          </w:tcPr>
          <w:p w14:paraId="229BAE8D" w14:textId="319F8704" w:rsidR="007100FF" w:rsidRPr="007100FF" w:rsidRDefault="0059078B" w:rsidP="007100FF">
            <w:pPr>
              <w:spacing w:before="0" w:after="0"/>
              <w:rPr>
                <w:rFonts w:eastAsia="Times New Roman" w:cs="Times New Roman"/>
                <w:szCs w:val="24"/>
                <w:lang w:eastAsia="lv-LV"/>
              </w:rPr>
            </w:pPr>
            <w:r>
              <w:rPr>
                <w:rFonts w:eastAsia="Times New Roman" w:cs="Times New Roman"/>
                <w:szCs w:val="24"/>
                <w:lang w:eastAsia="lv-LV"/>
              </w:rPr>
              <w:t>Satiksmes ministrija</w:t>
            </w:r>
          </w:p>
        </w:tc>
      </w:tr>
      <w:tr w:rsidR="007100FF" w:rsidRPr="007100FF" w14:paraId="3FE97298"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6B029688"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Pētījuma īstenotājs</w:t>
            </w:r>
          </w:p>
        </w:tc>
        <w:tc>
          <w:tcPr>
            <w:tcW w:w="2464" w:type="pct"/>
            <w:tcBorders>
              <w:top w:val="outset" w:sz="6" w:space="0" w:color="auto"/>
              <w:left w:val="outset" w:sz="6" w:space="0" w:color="auto"/>
              <w:bottom w:val="outset" w:sz="6" w:space="0" w:color="auto"/>
              <w:right w:val="outset" w:sz="6" w:space="0" w:color="auto"/>
            </w:tcBorders>
            <w:hideMark/>
          </w:tcPr>
          <w:p w14:paraId="5D55CEC0" w14:textId="19C6FCE4" w:rsidR="007100FF" w:rsidRPr="007100FF" w:rsidRDefault="0059078B" w:rsidP="007100FF">
            <w:pPr>
              <w:spacing w:before="0" w:after="0"/>
              <w:rPr>
                <w:rFonts w:eastAsia="Times New Roman" w:cs="Times New Roman"/>
                <w:szCs w:val="24"/>
                <w:lang w:eastAsia="lv-LV"/>
              </w:rPr>
            </w:pPr>
            <w:r w:rsidRPr="0059078B">
              <w:rPr>
                <w:rFonts w:eastAsia="Times New Roman" w:cs="Times New Roman"/>
                <w:szCs w:val="24"/>
                <w:lang w:eastAsia="lv-LV"/>
              </w:rPr>
              <w:t xml:space="preserve">ZAB Kronbergs </w:t>
            </w:r>
            <w:proofErr w:type="spellStart"/>
            <w:r w:rsidRPr="0059078B">
              <w:rPr>
                <w:rFonts w:eastAsia="Times New Roman" w:cs="Times New Roman"/>
                <w:szCs w:val="24"/>
                <w:lang w:eastAsia="lv-LV"/>
              </w:rPr>
              <w:t>Čukste</w:t>
            </w:r>
            <w:proofErr w:type="spellEnd"/>
            <w:r w:rsidRPr="0059078B">
              <w:rPr>
                <w:rFonts w:eastAsia="Times New Roman" w:cs="Times New Roman"/>
                <w:szCs w:val="24"/>
                <w:lang w:eastAsia="lv-LV"/>
              </w:rPr>
              <w:t xml:space="preserve"> LEVIN</w:t>
            </w:r>
          </w:p>
        </w:tc>
      </w:tr>
      <w:tr w:rsidR="007100FF" w:rsidRPr="007100FF" w14:paraId="7522F783"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79DDF8B2"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Pētījuma īstenošanas gads</w:t>
            </w:r>
          </w:p>
        </w:tc>
        <w:tc>
          <w:tcPr>
            <w:tcW w:w="2464" w:type="pct"/>
            <w:tcBorders>
              <w:top w:val="outset" w:sz="6" w:space="0" w:color="auto"/>
              <w:left w:val="outset" w:sz="6" w:space="0" w:color="auto"/>
              <w:bottom w:val="outset" w:sz="6" w:space="0" w:color="auto"/>
              <w:right w:val="outset" w:sz="6" w:space="0" w:color="auto"/>
            </w:tcBorders>
            <w:hideMark/>
          </w:tcPr>
          <w:p w14:paraId="539ACFCE" w14:textId="5834FAAE" w:rsidR="007100FF" w:rsidRPr="007100FF" w:rsidRDefault="00083491" w:rsidP="007100FF">
            <w:pPr>
              <w:spacing w:before="0" w:after="0"/>
              <w:rPr>
                <w:rFonts w:eastAsia="Times New Roman" w:cs="Times New Roman"/>
                <w:szCs w:val="24"/>
                <w:lang w:eastAsia="lv-LV"/>
              </w:rPr>
            </w:pPr>
            <w:r w:rsidRPr="00083491">
              <w:rPr>
                <w:rFonts w:eastAsia="Times New Roman" w:cs="Times New Roman"/>
                <w:szCs w:val="24"/>
                <w:lang w:eastAsia="lv-LV"/>
              </w:rPr>
              <w:t>20</w:t>
            </w:r>
            <w:r w:rsidR="0059078B">
              <w:rPr>
                <w:rFonts w:eastAsia="Times New Roman" w:cs="Times New Roman"/>
                <w:szCs w:val="24"/>
                <w:lang w:eastAsia="lv-LV"/>
              </w:rPr>
              <w:t>20</w:t>
            </w:r>
          </w:p>
        </w:tc>
      </w:tr>
      <w:tr w:rsidR="007100FF" w:rsidRPr="007100FF" w14:paraId="4CAB7E04"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597E4916"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Pētījuma finansēšanas summa un finansēšanas avots</w:t>
            </w:r>
          </w:p>
        </w:tc>
        <w:tc>
          <w:tcPr>
            <w:tcW w:w="2464" w:type="pct"/>
            <w:tcBorders>
              <w:top w:val="outset" w:sz="6" w:space="0" w:color="auto"/>
              <w:left w:val="outset" w:sz="6" w:space="0" w:color="auto"/>
              <w:bottom w:val="outset" w:sz="6" w:space="0" w:color="auto"/>
              <w:right w:val="outset" w:sz="6" w:space="0" w:color="auto"/>
            </w:tcBorders>
            <w:hideMark/>
          </w:tcPr>
          <w:p w14:paraId="448AA67A" w14:textId="6198D486" w:rsid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 </w:t>
            </w:r>
            <w:r w:rsidR="0064138F">
              <w:rPr>
                <w:rFonts w:eastAsia="Times New Roman" w:cs="Times New Roman"/>
                <w:szCs w:val="24"/>
                <w:lang w:eastAsia="lv-LV"/>
              </w:rPr>
              <w:t>1200 EUR (bez PVN)</w:t>
            </w:r>
          </w:p>
          <w:p w14:paraId="5CC6AB6E" w14:textId="46A1A377" w:rsidR="00F825A0" w:rsidRPr="007100FF" w:rsidRDefault="004F3EBB" w:rsidP="007100FF">
            <w:pPr>
              <w:spacing w:before="0" w:after="0"/>
              <w:rPr>
                <w:rFonts w:eastAsia="Times New Roman" w:cs="Times New Roman"/>
                <w:szCs w:val="24"/>
                <w:lang w:eastAsia="lv-LV"/>
              </w:rPr>
            </w:pPr>
            <w:r>
              <w:rPr>
                <w:rFonts w:eastAsia="Times New Roman" w:cs="Times New Roman"/>
                <w:szCs w:val="24"/>
                <w:lang w:eastAsia="lv-LV"/>
              </w:rPr>
              <w:t xml:space="preserve">Valsts budžets, </w:t>
            </w:r>
            <w:r w:rsidR="00DA140C">
              <w:rPr>
                <w:rFonts w:eastAsia="Times New Roman" w:cs="Times New Roman"/>
                <w:szCs w:val="24"/>
                <w:lang w:eastAsia="lv-LV"/>
              </w:rPr>
              <w:t>Satiksmes ministrijas programma</w:t>
            </w:r>
            <w:r w:rsidR="00417FFC">
              <w:rPr>
                <w:rFonts w:eastAsia="Times New Roman" w:cs="Times New Roman"/>
                <w:szCs w:val="24"/>
                <w:lang w:eastAsia="lv-LV"/>
              </w:rPr>
              <w:t xml:space="preserve"> </w:t>
            </w:r>
            <w:r w:rsidR="0064138F">
              <w:rPr>
                <w:rFonts w:eastAsia="Times New Roman" w:cs="Times New Roman"/>
                <w:szCs w:val="24"/>
                <w:lang w:eastAsia="lv-LV"/>
              </w:rPr>
              <w:t>97.00.00</w:t>
            </w:r>
          </w:p>
        </w:tc>
      </w:tr>
      <w:tr w:rsidR="007100FF" w:rsidRPr="007100FF" w14:paraId="3F68348B"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6A0E3E3C"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Pētījuma klasifikācija*</w:t>
            </w:r>
          </w:p>
        </w:tc>
        <w:tc>
          <w:tcPr>
            <w:tcW w:w="2464" w:type="pct"/>
            <w:tcBorders>
              <w:top w:val="outset" w:sz="6" w:space="0" w:color="auto"/>
              <w:left w:val="outset" w:sz="6" w:space="0" w:color="auto"/>
              <w:bottom w:val="outset" w:sz="6" w:space="0" w:color="auto"/>
              <w:right w:val="outset" w:sz="6" w:space="0" w:color="auto"/>
            </w:tcBorders>
            <w:hideMark/>
          </w:tcPr>
          <w:p w14:paraId="3F767B62" w14:textId="7454852C" w:rsidR="004F3EBB" w:rsidRPr="004F3EBB" w:rsidRDefault="00E24C86" w:rsidP="007100FF">
            <w:pPr>
              <w:spacing w:before="0" w:after="0"/>
              <w:rPr>
                <w:rFonts w:eastAsia="Times New Roman" w:cs="Times New Roman"/>
                <w:szCs w:val="24"/>
                <w:lang w:eastAsia="lv-LV"/>
              </w:rPr>
            </w:pPr>
            <w:r w:rsidRPr="00E24C86">
              <w:rPr>
                <w:rFonts w:eastAsia="Times New Roman" w:cs="Times New Roman"/>
                <w:szCs w:val="24"/>
                <w:lang w:eastAsia="lv-LV"/>
              </w:rPr>
              <w:t>12.2. padziļinātas ekspertīzes pētījumi politikas vai tiesiskā regulējuma izstrādei, politikas analīzei un ietekmes novērtēšanai – pētījumi, kas tiek izstrādāti, lai iegūtu neatkarīgu analīzi par konkrētas politikas vai tiesiskā regulējuma izstrādes nepieciešamību, novērtētu esošās politikas vai regulējuma īstenošanu un sasniegtos rezultātus</w:t>
            </w:r>
          </w:p>
        </w:tc>
      </w:tr>
      <w:tr w:rsidR="007100FF" w:rsidRPr="007100FF" w14:paraId="24F15344"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1BB49F73"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Politikas joma, nozare**</w:t>
            </w:r>
          </w:p>
        </w:tc>
        <w:tc>
          <w:tcPr>
            <w:tcW w:w="2464" w:type="pct"/>
            <w:tcBorders>
              <w:top w:val="outset" w:sz="6" w:space="0" w:color="auto"/>
              <w:left w:val="outset" w:sz="6" w:space="0" w:color="auto"/>
              <w:bottom w:val="outset" w:sz="6" w:space="0" w:color="auto"/>
              <w:right w:val="outset" w:sz="6" w:space="0" w:color="auto"/>
            </w:tcBorders>
            <w:hideMark/>
          </w:tcPr>
          <w:p w14:paraId="7B55C847" w14:textId="0C23D084" w:rsidR="007100FF" w:rsidRPr="004F3EBB" w:rsidRDefault="0065227E" w:rsidP="007100FF">
            <w:pPr>
              <w:spacing w:before="0" w:after="0"/>
              <w:rPr>
                <w:rFonts w:eastAsia="Times New Roman" w:cs="Times New Roman"/>
                <w:szCs w:val="24"/>
                <w:lang w:eastAsia="lv-LV"/>
              </w:rPr>
            </w:pPr>
            <w:r w:rsidRPr="004F3EBB">
              <w:rPr>
                <w:rFonts w:eastAsia="Times New Roman" w:cs="Times New Roman"/>
                <w:szCs w:val="24"/>
                <w:lang w:eastAsia="lv-LV"/>
              </w:rPr>
              <w:t>Transporta un sakaru politika, 13.2. Transporta politika</w:t>
            </w:r>
          </w:p>
        </w:tc>
      </w:tr>
      <w:tr w:rsidR="007100FF" w:rsidRPr="007100FF" w14:paraId="695A533F"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59141AC3"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b/>
                <w:bCs/>
                <w:szCs w:val="24"/>
                <w:lang w:eastAsia="lv-LV"/>
              </w:rPr>
              <w:t>Pētījuma ģeogrāfiskais aptvērums</w:t>
            </w:r>
            <w:r w:rsidRPr="007100FF">
              <w:rPr>
                <w:rFonts w:eastAsia="Times New Roman" w:cs="Times New Roman"/>
                <w:b/>
                <w:bCs/>
                <w:szCs w:val="24"/>
                <w:lang w:eastAsia="lv-LV"/>
              </w:rPr>
              <w:br/>
            </w:r>
            <w:r w:rsidRPr="007100FF">
              <w:rPr>
                <w:rFonts w:eastAsia="Times New Roman" w:cs="Times New Roman"/>
                <w:szCs w:val="24"/>
                <w:lang w:eastAsia="lv-LV"/>
              </w:rPr>
              <w:t>(visa Latvija vai noteikts reģions/novads)</w:t>
            </w:r>
          </w:p>
        </w:tc>
        <w:tc>
          <w:tcPr>
            <w:tcW w:w="2464" w:type="pct"/>
            <w:tcBorders>
              <w:top w:val="outset" w:sz="6" w:space="0" w:color="auto"/>
              <w:left w:val="outset" w:sz="6" w:space="0" w:color="auto"/>
              <w:bottom w:val="outset" w:sz="6" w:space="0" w:color="auto"/>
              <w:right w:val="outset" w:sz="6" w:space="0" w:color="auto"/>
            </w:tcBorders>
            <w:hideMark/>
          </w:tcPr>
          <w:p w14:paraId="73539A7B" w14:textId="77777777" w:rsidR="007100FF" w:rsidRPr="007100FF" w:rsidRDefault="00083491" w:rsidP="007100FF">
            <w:pPr>
              <w:spacing w:before="0" w:after="0"/>
              <w:rPr>
                <w:rFonts w:eastAsia="Times New Roman" w:cs="Times New Roman"/>
                <w:szCs w:val="24"/>
                <w:lang w:eastAsia="lv-LV"/>
              </w:rPr>
            </w:pPr>
            <w:r>
              <w:rPr>
                <w:rFonts w:eastAsia="Times New Roman" w:cs="Times New Roman"/>
                <w:szCs w:val="24"/>
                <w:lang w:eastAsia="lv-LV"/>
              </w:rPr>
              <w:t>Visa Latvija</w:t>
            </w:r>
          </w:p>
        </w:tc>
      </w:tr>
      <w:tr w:rsidR="007100FF" w:rsidRPr="007100FF" w14:paraId="15C0DD06"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49388DC0"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b/>
                <w:bCs/>
                <w:szCs w:val="24"/>
                <w:lang w:eastAsia="lv-LV"/>
              </w:rPr>
              <w:t>Pētījuma mērķa grupa/-</w:t>
            </w:r>
            <w:proofErr w:type="spellStart"/>
            <w:r w:rsidRPr="007100FF">
              <w:rPr>
                <w:rFonts w:eastAsia="Times New Roman" w:cs="Times New Roman"/>
                <w:b/>
                <w:bCs/>
                <w:szCs w:val="24"/>
                <w:lang w:eastAsia="lv-LV"/>
              </w:rPr>
              <w:t>as</w:t>
            </w:r>
            <w:proofErr w:type="spellEnd"/>
            <w:r w:rsidRPr="007100FF">
              <w:rPr>
                <w:rFonts w:eastAsia="Times New Roman" w:cs="Times New Roman"/>
                <w:b/>
                <w:bCs/>
                <w:szCs w:val="24"/>
                <w:lang w:eastAsia="lv-LV"/>
              </w:rPr>
              <w:br/>
            </w:r>
            <w:r w:rsidRPr="007100FF">
              <w:rPr>
                <w:rFonts w:eastAsia="Times New Roman" w:cs="Times New Roman"/>
                <w:szCs w:val="24"/>
                <w:lang w:eastAsia="lv-LV"/>
              </w:rPr>
              <w:t>(piemēram, Latvijas iedzīvotāji darbspējas vecumā)</w:t>
            </w:r>
          </w:p>
        </w:tc>
        <w:tc>
          <w:tcPr>
            <w:tcW w:w="2464" w:type="pct"/>
            <w:tcBorders>
              <w:top w:val="outset" w:sz="6" w:space="0" w:color="auto"/>
              <w:left w:val="outset" w:sz="6" w:space="0" w:color="auto"/>
              <w:bottom w:val="outset" w:sz="6" w:space="0" w:color="auto"/>
              <w:right w:val="outset" w:sz="6" w:space="0" w:color="auto"/>
            </w:tcBorders>
            <w:hideMark/>
          </w:tcPr>
          <w:p w14:paraId="19A2CDE0" w14:textId="07E50284" w:rsidR="007100FF" w:rsidRPr="007100FF" w:rsidRDefault="0059078B" w:rsidP="007100FF">
            <w:pPr>
              <w:spacing w:before="0" w:after="0"/>
              <w:rPr>
                <w:rFonts w:eastAsia="Times New Roman" w:cs="Times New Roman"/>
                <w:szCs w:val="24"/>
                <w:lang w:eastAsia="lv-LV"/>
              </w:rPr>
            </w:pPr>
            <w:r>
              <w:rPr>
                <w:rFonts w:eastAsia="Times New Roman" w:cs="Times New Roman"/>
                <w:szCs w:val="24"/>
                <w:lang w:eastAsia="lv-LV"/>
              </w:rPr>
              <w:t>Latvijas lielās ostas,</w:t>
            </w:r>
            <w:r w:rsidR="00F825A0">
              <w:rPr>
                <w:rFonts w:eastAsia="Times New Roman" w:cs="Times New Roman"/>
                <w:szCs w:val="24"/>
                <w:lang w:eastAsia="lv-LV"/>
              </w:rPr>
              <w:t xml:space="preserve"> Satiksmes ministrija</w:t>
            </w:r>
          </w:p>
        </w:tc>
      </w:tr>
      <w:tr w:rsidR="007100FF" w:rsidRPr="007100FF" w14:paraId="65F39535"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22EBF012"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Pētījumā izmantotās metodes pēc informācijas ieguves veida:</w:t>
            </w:r>
          </w:p>
        </w:tc>
        <w:tc>
          <w:tcPr>
            <w:tcW w:w="2464" w:type="pct"/>
            <w:tcBorders>
              <w:top w:val="outset" w:sz="6" w:space="0" w:color="auto"/>
              <w:left w:val="outset" w:sz="6" w:space="0" w:color="auto"/>
              <w:bottom w:val="outset" w:sz="6" w:space="0" w:color="auto"/>
              <w:right w:val="outset" w:sz="6" w:space="0" w:color="auto"/>
            </w:tcBorders>
            <w:hideMark/>
          </w:tcPr>
          <w:p w14:paraId="5065A18E" w14:textId="77777777" w:rsidR="007100FF" w:rsidRPr="007100FF" w:rsidRDefault="007100FF" w:rsidP="007100FF">
            <w:pPr>
              <w:spacing w:before="0" w:after="0"/>
              <w:rPr>
                <w:rFonts w:eastAsia="Times New Roman" w:cs="Times New Roman"/>
                <w:b/>
                <w:bCs/>
                <w:szCs w:val="24"/>
                <w:lang w:eastAsia="lv-LV"/>
              </w:rPr>
            </w:pPr>
          </w:p>
        </w:tc>
      </w:tr>
      <w:tr w:rsidR="007100FF" w:rsidRPr="007100FF" w14:paraId="6DCF064C"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4CAFFD2D"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169088E8"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1) tiesību aktu vai politikas plānošanas dokumentu analīze</w:t>
            </w:r>
          </w:p>
        </w:tc>
        <w:tc>
          <w:tcPr>
            <w:tcW w:w="2464" w:type="pct"/>
            <w:tcBorders>
              <w:top w:val="outset" w:sz="6" w:space="0" w:color="auto"/>
              <w:left w:val="outset" w:sz="6" w:space="0" w:color="auto"/>
              <w:bottom w:val="outset" w:sz="6" w:space="0" w:color="auto"/>
              <w:right w:val="outset" w:sz="6" w:space="0" w:color="auto"/>
            </w:tcBorders>
            <w:hideMark/>
          </w:tcPr>
          <w:p w14:paraId="41E0F2CA" w14:textId="34EABB44" w:rsidR="007100FF" w:rsidRPr="007100FF" w:rsidRDefault="0022384B" w:rsidP="007100FF">
            <w:pPr>
              <w:spacing w:before="0" w:after="0"/>
              <w:rPr>
                <w:rFonts w:eastAsia="Times New Roman" w:cs="Times New Roman"/>
                <w:szCs w:val="24"/>
                <w:lang w:eastAsia="lv-LV"/>
              </w:rPr>
            </w:pPr>
            <w:r>
              <w:rPr>
                <w:rFonts w:eastAsia="Times New Roman" w:cs="Times New Roman"/>
                <w:szCs w:val="24"/>
                <w:lang w:eastAsia="lv-LV"/>
              </w:rPr>
              <w:t>Jā</w:t>
            </w:r>
          </w:p>
        </w:tc>
      </w:tr>
      <w:tr w:rsidR="007100FF" w:rsidRPr="007100FF" w14:paraId="1A765FBC"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3A31866C"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18FEBDF8"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2) statistikas datu analīze</w:t>
            </w:r>
          </w:p>
        </w:tc>
        <w:tc>
          <w:tcPr>
            <w:tcW w:w="2464" w:type="pct"/>
            <w:tcBorders>
              <w:top w:val="outset" w:sz="6" w:space="0" w:color="auto"/>
              <w:left w:val="outset" w:sz="6" w:space="0" w:color="auto"/>
              <w:bottom w:val="outset" w:sz="6" w:space="0" w:color="auto"/>
              <w:right w:val="outset" w:sz="6" w:space="0" w:color="auto"/>
            </w:tcBorders>
            <w:hideMark/>
          </w:tcPr>
          <w:p w14:paraId="7FCA99AC" w14:textId="4A1C03EE" w:rsidR="007100FF" w:rsidRPr="007100FF" w:rsidRDefault="0022384B" w:rsidP="007100FF">
            <w:pPr>
              <w:spacing w:before="0" w:after="0"/>
              <w:rPr>
                <w:rFonts w:eastAsia="Times New Roman" w:cs="Times New Roman"/>
                <w:szCs w:val="24"/>
                <w:lang w:eastAsia="lv-LV"/>
              </w:rPr>
            </w:pPr>
            <w:r>
              <w:rPr>
                <w:rFonts w:eastAsia="Times New Roman" w:cs="Times New Roman"/>
                <w:szCs w:val="24"/>
                <w:lang w:eastAsia="lv-LV"/>
              </w:rPr>
              <w:t>Jā</w:t>
            </w:r>
          </w:p>
        </w:tc>
      </w:tr>
      <w:tr w:rsidR="007100FF" w:rsidRPr="007100FF" w14:paraId="1112B784"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4A4379B3"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19A0B008"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3) esošo pētījumu datu sekundārā analīze</w:t>
            </w:r>
          </w:p>
        </w:tc>
        <w:tc>
          <w:tcPr>
            <w:tcW w:w="2464" w:type="pct"/>
            <w:tcBorders>
              <w:top w:val="outset" w:sz="6" w:space="0" w:color="auto"/>
              <w:left w:val="outset" w:sz="6" w:space="0" w:color="auto"/>
              <w:bottom w:val="outset" w:sz="6" w:space="0" w:color="auto"/>
              <w:right w:val="outset" w:sz="6" w:space="0" w:color="auto"/>
            </w:tcBorders>
            <w:hideMark/>
          </w:tcPr>
          <w:p w14:paraId="448DDAE1" w14:textId="093A91E4" w:rsidR="007100FF" w:rsidRPr="007100FF" w:rsidRDefault="0022384B" w:rsidP="007100FF">
            <w:pPr>
              <w:spacing w:before="0" w:after="0"/>
              <w:rPr>
                <w:rFonts w:eastAsia="Times New Roman" w:cs="Times New Roman"/>
                <w:szCs w:val="24"/>
                <w:lang w:eastAsia="lv-LV"/>
              </w:rPr>
            </w:pPr>
            <w:r>
              <w:rPr>
                <w:rFonts w:eastAsia="Times New Roman" w:cs="Times New Roman"/>
                <w:szCs w:val="24"/>
                <w:lang w:eastAsia="lv-LV"/>
              </w:rPr>
              <w:t>Jā</w:t>
            </w:r>
          </w:p>
        </w:tc>
      </w:tr>
      <w:tr w:rsidR="007100FF" w:rsidRPr="007100FF" w14:paraId="0EAF141F"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16170B43"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0D17C7AF"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4) padziļināto/ekspertu interviju veikšana un analīze</w:t>
            </w:r>
          </w:p>
        </w:tc>
        <w:tc>
          <w:tcPr>
            <w:tcW w:w="2464" w:type="pct"/>
            <w:tcBorders>
              <w:top w:val="outset" w:sz="6" w:space="0" w:color="auto"/>
              <w:left w:val="outset" w:sz="6" w:space="0" w:color="auto"/>
              <w:bottom w:val="outset" w:sz="6" w:space="0" w:color="auto"/>
              <w:right w:val="outset" w:sz="6" w:space="0" w:color="auto"/>
            </w:tcBorders>
            <w:hideMark/>
          </w:tcPr>
          <w:p w14:paraId="64543CD8" w14:textId="26FB85FC" w:rsidR="007100FF" w:rsidRPr="007100FF" w:rsidRDefault="0022384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17E41F0E"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6DA3A115"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396788D5"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5) fokusa grupu diskusiju veikšana un analīze</w:t>
            </w:r>
          </w:p>
        </w:tc>
        <w:tc>
          <w:tcPr>
            <w:tcW w:w="2464" w:type="pct"/>
            <w:tcBorders>
              <w:top w:val="outset" w:sz="6" w:space="0" w:color="auto"/>
              <w:left w:val="outset" w:sz="6" w:space="0" w:color="auto"/>
              <w:bottom w:val="outset" w:sz="6" w:space="0" w:color="auto"/>
              <w:right w:val="outset" w:sz="6" w:space="0" w:color="auto"/>
            </w:tcBorders>
            <w:hideMark/>
          </w:tcPr>
          <w:p w14:paraId="53F923ED" w14:textId="1A4FEA31" w:rsidR="007100FF" w:rsidRPr="007100FF" w:rsidRDefault="0022384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7AC78985"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25881B67"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7190048C"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6) gadījumu izpēte</w:t>
            </w:r>
          </w:p>
        </w:tc>
        <w:tc>
          <w:tcPr>
            <w:tcW w:w="2464" w:type="pct"/>
            <w:tcBorders>
              <w:top w:val="outset" w:sz="6" w:space="0" w:color="auto"/>
              <w:left w:val="outset" w:sz="6" w:space="0" w:color="auto"/>
              <w:bottom w:val="outset" w:sz="6" w:space="0" w:color="auto"/>
              <w:right w:val="outset" w:sz="6" w:space="0" w:color="auto"/>
            </w:tcBorders>
            <w:hideMark/>
          </w:tcPr>
          <w:p w14:paraId="3D0B6FA9" w14:textId="0EE5C182" w:rsidR="007100FF" w:rsidRPr="007100FF" w:rsidRDefault="004F3EB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79C14937"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53F3BF6E"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4903D293"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7) kvantitatīvās aptaujas veikšana un datu analīze</w:t>
            </w:r>
          </w:p>
        </w:tc>
        <w:tc>
          <w:tcPr>
            <w:tcW w:w="2464" w:type="pct"/>
            <w:tcBorders>
              <w:top w:val="outset" w:sz="6" w:space="0" w:color="auto"/>
              <w:left w:val="outset" w:sz="6" w:space="0" w:color="auto"/>
              <w:bottom w:val="outset" w:sz="6" w:space="0" w:color="auto"/>
              <w:right w:val="outset" w:sz="6" w:space="0" w:color="auto"/>
            </w:tcBorders>
            <w:hideMark/>
          </w:tcPr>
          <w:p w14:paraId="32B235A8" w14:textId="4C5307A7" w:rsidR="007100FF" w:rsidRPr="007100FF" w:rsidRDefault="0059078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15B9D967"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0722C55C"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5BFA0FFF"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8) citas metodes (norādīt, kādas)</w:t>
            </w:r>
          </w:p>
        </w:tc>
        <w:tc>
          <w:tcPr>
            <w:tcW w:w="2464" w:type="pct"/>
            <w:tcBorders>
              <w:top w:val="outset" w:sz="6" w:space="0" w:color="auto"/>
              <w:left w:val="outset" w:sz="6" w:space="0" w:color="auto"/>
              <w:bottom w:val="outset" w:sz="6" w:space="0" w:color="auto"/>
              <w:right w:val="outset" w:sz="6" w:space="0" w:color="auto"/>
            </w:tcBorders>
            <w:hideMark/>
          </w:tcPr>
          <w:p w14:paraId="23447E9C" w14:textId="0B8C343C" w:rsidR="007100FF" w:rsidRPr="007100FF" w:rsidRDefault="0059078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69930C50"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15D5F6C6"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b/>
                <w:bCs/>
                <w:szCs w:val="24"/>
                <w:lang w:eastAsia="lv-LV"/>
              </w:rPr>
              <w:lastRenderedPageBreak/>
              <w:t>Kvantitatīvās pētījuma metodes</w:t>
            </w:r>
            <w:r w:rsidRPr="007100FF">
              <w:rPr>
                <w:rFonts w:eastAsia="Times New Roman" w:cs="Times New Roman"/>
                <w:b/>
                <w:bCs/>
                <w:szCs w:val="24"/>
                <w:lang w:eastAsia="lv-LV"/>
              </w:rPr>
              <w:br/>
            </w:r>
            <w:r w:rsidRPr="007100FF">
              <w:rPr>
                <w:rFonts w:eastAsia="Times New Roman" w:cs="Times New Roman"/>
                <w:szCs w:val="24"/>
                <w:lang w:eastAsia="lv-LV"/>
              </w:rPr>
              <w:t>(ja attiecināms):</w:t>
            </w:r>
          </w:p>
        </w:tc>
        <w:tc>
          <w:tcPr>
            <w:tcW w:w="2464" w:type="pct"/>
            <w:tcBorders>
              <w:top w:val="outset" w:sz="6" w:space="0" w:color="auto"/>
              <w:left w:val="outset" w:sz="6" w:space="0" w:color="auto"/>
              <w:bottom w:val="outset" w:sz="6" w:space="0" w:color="auto"/>
              <w:right w:val="outset" w:sz="6" w:space="0" w:color="auto"/>
            </w:tcBorders>
            <w:hideMark/>
          </w:tcPr>
          <w:p w14:paraId="4C68BFCD" w14:textId="77777777" w:rsidR="007100FF" w:rsidRPr="007100FF" w:rsidRDefault="007100FF" w:rsidP="007100FF">
            <w:pPr>
              <w:spacing w:before="0" w:after="0"/>
              <w:rPr>
                <w:rFonts w:eastAsia="Times New Roman" w:cs="Times New Roman"/>
                <w:szCs w:val="24"/>
                <w:lang w:eastAsia="lv-LV"/>
              </w:rPr>
            </w:pPr>
          </w:p>
        </w:tc>
      </w:tr>
      <w:tr w:rsidR="007100FF" w:rsidRPr="007100FF" w14:paraId="36E40B4B"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494C4808"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0E743520"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1) aptaujas izlases metode</w:t>
            </w:r>
          </w:p>
        </w:tc>
        <w:tc>
          <w:tcPr>
            <w:tcW w:w="2464" w:type="pct"/>
            <w:tcBorders>
              <w:top w:val="outset" w:sz="6" w:space="0" w:color="auto"/>
              <w:left w:val="outset" w:sz="6" w:space="0" w:color="auto"/>
              <w:bottom w:val="outset" w:sz="6" w:space="0" w:color="auto"/>
              <w:right w:val="outset" w:sz="6" w:space="0" w:color="auto"/>
            </w:tcBorders>
            <w:hideMark/>
          </w:tcPr>
          <w:p w14:paraId="1B26B46A" w14:textId="0B9D3A40" w:rsidR="007100FF" w:rsidRPr="007100FF" w:rsidRDefault="0059078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02AA1FAD"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65920C58"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2EF06C7A"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2) aptaujāto/anketēto respondentu/vienību skaits</w:t>
            </w:r>
          </w:p>
        </w:tc>
        <w:tc>
          <w:tcPr>
            <w:tcW w:w="2464" w:type="pct"/>
            <w:tcBorders>
              <w:top w:val="outset" w:sz="6" w:space="0" w:color="auto"/>
              <w:left w:val="outset" w:sz="6" w:space="0" w:color="auto"/>
              <w:bottom w:val="outset" w:sz="6" w:space="0" w:color="auto"/>
              <w:right w:val="outset" w:sz="6" w:space="0" w:color="auto"/>
            </w:tcBorders>
            <w:hideMark/>
          </w:tcPr>
          <w:p w14:paraId="587E5C5C" w14:textId="388DC83C" w:rsidR="007100FF" w:rsidRPr="007100FF" w:rsidRDefault="0059078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49ED9351"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538DD2B0"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b/>
                <w:bCs/>
                <w:szCs w:val="24"/>
                <w:lang w:eastAsia="lv-LV"/>
              </w:rPr>
              <w:t>Kvalitatīvās pētījuma metodes</w:t>
            </w:r>
            <w:r w:rsidRPr="007100FF">
              <w:rPr>
                <w:rFonts w:eastAsia="Times New Roman" w:cs="Times New Roman"/>
                <w:b/>
                <w:bCs/>
                <w:szCs w:val="24"/>
                <w:lang w:eastAsia="lv-LV"/>
              </w:rPr>
              <w:br/>
            </w:r>
            <w:r w:rsidRPr="007100FF">
              <w:rPr>
                <w:rFonts w:eastAsia="Times New Roman" w:cs="Times New Roman"/>
                <w:szCs w:val="24"/>
                <w:lang w:eastAsia="lv-LV"/>
              </w:rPr>
              <w:t>(ja attiecināms):</w:t>
            </w:r>
          </w:p>
        </w:tc>
        <w:tc>
          <w:tcPr>
            <w:tcW w:w="2464" w:type="pct"/>
            <w:tcBorders>
              <w:top w:val="outset" w:sz="6" w:space="0" w:color="auto"/>
              <w:left w:val="outset" w:sz="6" w:space="0" w:color="auto"/>
              <w:bottom w:val="outset" w:sz="6" w:space="0" w:color="auto"/>
              <w:right w:val="outset" w:sz="6" w:space="0" w:color="auto"/>
            </w:tcBorders>
            <w:hideMark/>
          </w:tcPr>
          <w:p w14:paraId="02D8958A" w14:textId="77777777" w:rsidR="007100FF" w:rsidRPr="007100FF" w:rsidRDefault="007100FF" w:rsidP="007100FF">
            <w:pPr>
              <w:spacing w:before="0" w:after="0"/>
              <w:rPr>
                <w:rFonts w:eastAsia="Times New Roman" w:cs="Times New Roman"/>
                <w:szCs w:val="24"/>
                <w:lang w:eastAsia="lv-LV"/>
              </w:rPr>
            </w:pPr>
          </w:p>
        </w:tc>
      </w:tr>
      <w:tr w:rsidR="007100FF" w:rsidRPr="007100FF" w14:paraId="50D54BC7"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3A396F82"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487799FB"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1) padziļināto/ekspertu interviju skaits (ja attiecināms)</w:t>
            </w:r>
          </w:p>
        </w:tc>
        <w:tc>
          <w:tcPr>
            <w:tcW w:w="2464" w:type="pct"/>
            <w:tcBorders>
              <w:top w:val="outset" w:sz="6" w:space="0" w:color="auto"/>
              <w:left w:val="outset" w:sz="6" w:space="0" w:color="auto"/>
              <w:bottom w:val="outset" w:sz="6" w:space="0" w:color="auto"/>
              <w:right w:val="outset" w:sz="6" w:space="0" w:color="auto"/>
            </w:tcBorders>
            <w:hideMark/>
          </w:tcPr>
          <w:p w14:paraId="2F5AFE2A" w14:textId="0FFF6F92" w:rsidR="007100FF" w:rsidRPr="007100FF" w:rsidRDefault="0022384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71A824DD" w14:textId="77777777" w:rsidTr="00417FFC">
        <w:trPr>
          <w:tblCellSpacing w:w="15" w:type="dxa"/>
        </w:trPr>
        <w:tc>
          <w:tcPr>
            <w:tcW w:w="296" w:type="pct"/>
            <w:tcBorders>
              <w:top w:val="outset" w:sz="6" w:space="0" w:color="auto"/>
              <w:left w:val="outset" w:sz="6" w:space="0" w:color="auto"/>
              <w:bottom w:val="outset" w:sz="6" w:space="0" w:color="auto"/>
              <w:right w:val="nil"/>
            </w:tcBorders>
            <w:hideMark/>
          </w:tcPr>
          <w:p w14:paraId="21C8E5D0" w14:textId="77777777" w:rsidR="007100FF" w:rsidRPr="007100FF" w:rsidRDefault="007100FF" w:rsidP="007100FF">
            <w:pPr>
              <w:spacing w:before="0" w:after="0"/>
              <w:rPr>
                <w:rFonts w:eastAsia="Times New Roman" w:cs="Times New Roman"/>
                <w:sz w:val="20"/>
                <w:szCs w:val="20"/>
                <w:lang w:eastAsia="lv-LV"/>
              </w:rPr>
            </w:pPr>
          </w:p>
        </w:tc>
        <w:tc>
          <w:tcPr>
            <w:tcW w:w="2168" w:type="pct"/>
            <w:tcBorders>
              <w:top w:val="outset" w:sz="6" w:space="0" w:color="auto"/>
              <w:left w:val="nil"/>
              <w:bottom w:val="outset" w:sz="6" w:space="0" w:color="auto"/>
              <w:right w:val="outset" w:sz="6" w:space="0" w:color="auto"/>
            </w:tcBorders>
            <w:hideMark/>
          </w:tcPr>
          <w:p w14:paraId="33253235" w14:textId="77777777" w:rsidR="007100FF" w:rsidRPr="007100FF" w:rsidRDefault="007100FF" w:rsidP="007100FF">
            <w:pPr>
              <w:spacing w:before="0" w:after="0"/>
              <w:rPr>
                <w:rFonts w:eastAsia="Times New Roman" w:cs="Times New Roman"/>
                <w:szCs w:val="24"/>
                <w:lang w:eastAsia="lv-LV"/>
              </w:rPr>
            </w:pPr>
            <w:r w:rsidRPr="007100FF">
              <w:rPr>
                <w:rFonts w:eastAsia="Times New Roman" w:cs="Times New Roman"/>
                <w:szCs w:val="24"/>
                <w:lang w:eastAsia="lv-LV"/>
              </w:rPr>
              <w:t>2) fokusa grupu diskusiju skaits (ja attiecināms)</w:t>
            </w:r>
          </w:p>
        </w:tc>
        <w:tc>
          <w:tcPr>
            <w:tcW w:w="2464" w:type="pct"/>
            <w:tcBorders>
              <w:top w:val="outset" w:sz="6" w:space="0" w:color="auto"/>
              <w:left w:val="outset" w:sz="6" w:space="0" w:color="auto"/>
              <w:bottom w:val="outset" w:sz="6" w:space="0" w:color="auto"/>
              <w:right w:val="outset" w:sz="6" w:space="0" w:color="auto"/>
            </w:tcBorders>
            <w:hideMark/>
          </w:tcPr>
          <w:p w14:paraId="3503E655" w14:textId="730B350F" w:rsidR="007100FF" w:rsidRPr="007100FF" w:rsidRDefault="0022384B" w:rsidP="007100FF">
            <w:pPr>
              <w:spacing w:before="0" w:after="0"/>
              <w:rPr>
                <w:rFonts w:eastAsia="Times New Roman" w:cs="Times New Roman"/>
                <w:szCs w:val="24"/>
                <w:lang w:eastAsia="lv-LV"/>
              </w:rPr>
            </w:pPr>
            <w:r>
              <w:rPr>
                <w:rFonts w:eastAsia="Times New Roman" w:cs="Times New Roman"/>
                <w:szCs w:val="24"/>
                <w:lang w:eastAsia="lv-LV"/>
              </w:rPr>
              <w:t>-</w:t>
            </w:r>
          </w:p>
        </w:tc>
      </w:tr>
      <w:tr w:rsidR="007100FF" w:rsidRPr="007100FF" w14:paraId="55665399"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5A9B3841"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Izmantotās analīzes grupas (griezumi)</w:t>
            </w:r>
          </w:p>
        </w:tc>
        <w:tc>
          <w:tcPr>
            <w:tcW w:w="2464" w:type="pct"/>
            <w:tcBorders>
              <w:top w:val="outset" w:sz="6" w:space="0" w:color="auto"/>
              <w:left w:val="outset" w:sz="6" w:space="0" w:color="auto"/>
              <w:bottom w:val="outset" w:sz="6" w:space="0" w:color="auto"/>
              <w:right w:val="outset" w:sz="6" w:space="0" w:color="auto"/>
            </w:tcBorders>
            <w:hideMark/>
          </w:tcPr>
          <w:p w14:paraId="0FCA0D21" w14:textId="3E09FBF9" w:rsidR="007100FF" w:rsidRPr="00DC4900" w:rsidRDefault="00DC4900" w:rsidP="007100FF">
            <w:pPr>
              <w:spacing w:before="0" w:after="0"/>
              <w:rPr>
                <w:rFonts w:eastAsia="Times New Roman" w:cs="Times New Roman"/>
                <w:szCs w:val="24"/>
                <w:lang w:eastAsia="lv-LV"/>
              </w:rPr>
            </w:pPr>
            <w:r w:rsidRPr="00DC4900">
              <w:rPr>
                <w:rFonts w:eastAsia="Times New Roman" w:cs="Times New Roman"/>
                <w:szCs w:val="24"/>
                <w:lang w:eastAsia="lv-LV"/>
              </w:rPr>
              <w:t xml:space="preserve">Datu apkopošana nacionālā un </w:t>
            </w:r>
            <w:r w:rsidR="00E24C86">
              <w:rPr>
                <w:rFonts w:eastAsia="Times New Roman" w:cs="Times New Roman"/>
                <w:szCs w:val="24"/>
                <w:lang w:eastAsia="lv-LV"/>
              </w:rPr>
              <w:t>starptautiskā</w:t>
            </w:r>
            <w:r w:rsidRPr="00DC4900">
              <w:rPr>
                <w:rFonts w:eastAsia="Times New Roman" w:cs="Times New Roman"/>
                <w:szCs w:val="24"/>
                <w:lang w:eastAsia="lv-LV"/>
              </w:rPr>
              <w:t xml:space="preserve"> līmenī</w:t>
            </w:r>
          </w:p>
        </w:tc>
      </w:tr>
      <w:tr w:rsidR="007100FF" w:rsidRPr="007100FF" w14:paraId="0CD59E87" w14:textId="77777777" w:rsidTr="00417FFC">
        <w:trPr>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51A1FFA7"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Pētījuma pasūtītāja kontaktinformācija</w:t>
            </w:r>
          </w:p>
        </w:tc>
        <w:tc>
          <w:tcPr>
            <w:tcW w:w="2464" w:type="pct"/>
            <w:tcBorders>
              <w:top w:val="outset" w:sz="6" w:space="0" w:color="auto"/>
              <w:left w:val="outset" w:sz="6" w:space="0" w:color="auto"/>
              <w:bottom w:val="outset" w:sz="6" w:space="0" w:color="auto"/>
              <w:right w:val="outset" w:sz="6" w:space="0" w:color="auto"/>
            </w:tcBorders>
            <w:hideMark/>
          </w:tcPr>
          <w:p w14:paraId="3AAA8B77" w14:textId="62FC4275" w:rsidR="00DC4900" w:rsidRPr="00DC4900" w:rsidRDefault="0059078B" w:rsidP="00DC4900">
            <w:pPr>
              <w:spacing w:before="0" w:after="0"/>
              <w:rPr>
                <w:rFonts w:eastAsia="Times New Roman" w:cs="Times New Roman"/>
                <w:b/>
                <w:bCs/>
                <w:szCs w:val="24"/>
                <w:lang w:eastAsia="lv-LV"/>
              </w:rPr>
            </w:pPr>
            <w:r>
              <w:rPr>
                <w:rFonts w:eastAsia="Times New Roman" w:cs="Times New Roman"/>
                <w:b/>
                <w:bCs/>
                <w:szCs w:val="24"/>
                <w:lang w:eastAsia="lv-LV"/>
              </w:rPr>
              <w:t>Satiksmes ministrija</w:t>
            </w:r>
            <w:r w:rsidR="00DC4900" w:rsidRPr="00DC4900">
              <w:rPr>
                <w:rFonts w:eastAsia="Times New Roman" w:cs="Times New Roman"/>
                <w:b/>
                <w:bCs/>
                <w:szCs w:val="24"/>
                <w:lang w:eastAsia="lv-LV"/>
              </w:rPr>
              <w:t xml:space="preserve"> Gogoļa iela 3, Rīga, LV-1050</w:t>
            </w:r>
          </w:p>
          <w:p w14:paraId="4ED99929" w14:textId="3BB534B4" w:rsidR="007100FF" w:rsidRPr="007100FF" w:rsidRDefault="007100FF" w:rsidP="00DC4900">
            <w:pPr>
              <w:spacing w:before="0" w:after="0"/>
              <w:rPr>
                <w:rFonts w:eastAsia="Times New Roman" w:cs="Times New Roman"/>
                <w:b/>
                <w:bCs/>
                <w:szCs w:val="24"/>
                <w:lang w:eastAsia="lv-LV"/>
              </w:rPr>
            </w:pPr>
          </w:p>
        </w:tc>
      </w:tr>
      <w:tr w:rsidR="007100FF" w:rsidRPr="007100FF" w14:paraId="60A51B8B" w14:textId="77777777" w:rsidTr="00417FFC">
        <w:trPr>
          <w:trHeight w:val="390"/>
          <w:tblCellSpacing w:w="15" w:type="dxa"/>
        </w:trPr>
        <w:tc>
          <w:tcPr>
            <w:tcW w:w="2482" w:type="pct"/>
            <w:gridSpan w:val="2"/>
            <w:tcBorders>
              <w:top w:val="outset" w:sz="6" w:space="0" w:color="auto"/>
              <w:left w:val="outset" w:sz="6" w:space="0" w:color="auto"/>
              <w:bottom w:val="outset" w:sz="6" w:space="0" w:color="auto"/>
              <w:right w:val="outset" w:sz="6" w:space="0" w:color="auto"/>
            </w:tcBorders>
            <w:hideMark/>
          </w:tcPr>
          <w:p w14:paraId="7A2F5258" w14:textId="77777777" w:rsidR="007100FF" w:rsidRPr="007100FF" w:rsidRDefault="007100FF" w:rsidP="007100FF">
            <w:pPr>
              <w:spacing w:before="0" w:after="0"/>
              <w:rPr>
                <w:rFonts w:eastAsia="Times New Roman" w:cs="Times New Roman"/>
                <w:b/>
                <w:bCs/>
                <w:szCs w:val="24"/>
                <w:lang w:eastAsia="lv-LV"/>
              </w:rPr>
            </w:pPr>
            <w:r w:rsidRPr="007100FF">
              <w:rPr>
                <w:rFonts w:eastAsia="Times New Roman" w:cs="Times New Roman"/>
                <w:b/>
                <w:bCs/>
                <w:szCs w:val="24"/>
                <w:lang w:eastAsia="lv-LV"/>
              </w:rPr>
              <w:t>Pētījuma autori*** (autortiesību subjekti)</w:t>
            </w:r>
          </w:p>
        </w:tc>
        <w:tc>
          <w:tcPr>
            <w:tcW w:w="2464" w:type="pct"/>
            <w:tcBorders>
              <w:top w:val="outset" w:sz="6" w:space="0" w:color="auto"/>
              <w:left w:val="outset" w:sz="6" w:space="0" w:color="auto"/>
              <w:bottom w:val="outset" w:sz="6" w:space="0" w:color="auto"/>
              <w:right w:val="outset" w:sz="6" w:space="0" w:color="auto"/>
            </w:tcBorders>
            <w:hideMark/>
          </w:tcPr>
          <w:p w14:paraId="0476E7BE" w14:textId="2B562535" w:rsidR="007100FF" w:rsidRPr="007100FF" w:rsidRDefault="0059078B" w:rsidP="007100FF">
            <w:pPr>
              <w:spacing w:before="0" w:after="0"/>
              <w:rPr>
                <w:rFonts w:eastAsia="Times New Roman" w:cs="Times New Roman"/>
                <w:szCs w:val="24"/>
                <w:lang w:eastAsia="lv-LV"/>
              </w:rPr>
            </w:pPr>
            <w:r w:rsidRPr="00B5603D">
              <w:t xml:space="preserve">ZAB Kronbergs </w:t>
            </w:r>
            <w:proofErr w:type="spellStart"/>
            <w:r w:rsidRPr="00B5603D">
              <w:t>Čukste</w:t>
            </w:r>
            <w:proofErr w:type="spellEnd"/>
            <w:r w:rsidRPr="00B5603D">
              <w:t xml:space="preserve"> LEVIN</w:t>
            </w:r>
          </w:p>
        </w:tc>
      </w:tr>
    </w:tbl>
    <w:p w14:paraId="391E9430" w14:textId="77777777" w:rsidR="007100FF" w:rsidRPr="007100FF" w:rsidRDefault="007100FF" w:rsidP="007100FF">
      <w:pPr>
        <w:spacing w:before="100" w:beforeAutospacing="1" w:after="100" w:afterAutospacing="1"/>
        <w:rPr>
          <w:rFonts w:eastAsia="Times New Roman" w:cs="Times New Roman"/>
          <w:szCs w:val="24"/>
          <w:lang w:eastAsia="lv-LV"/>
        </w:rPr>
      </w:pPr>
      <w:r w:rsidRPr="007100FF">
        <w:rPr>
          <w:rFonts w:eastAsia="Times New Roman" w:cs="Times New Roman"/>
          <w:szCs w:val="24"/>
          <w:lang w:eastAsia="lv-LV"/>
        </w:rPr>
        <w:t>Piezīmes.</w:t>
      </w:r>
    </w:p>
    <w:p w14:paraId="6527D678" w14:textId="77777777" w:rsidR="007100FF" w:rsidRPr="007100FF" w:rsidRDefault="007100FF" w:rsidP="007100FF">
      <w:pPr>
        <w:spacing w:before="100" w:beforeAutospacing="1" w:after="100" w:afterAutospacing="1"/>
        <w:rPr>
          <w:rFonts w:eastAsia="Times New Roman" w:cs="Times New Roman"/>
          <w:szCs w:val="24"/>
          <w:lang w:eastAsia="lv-LV"/>
        </w:rPr>
      </w:pPr>
      <w:r w:rsidRPr="007100FF">
        <w:rPr>
          <w:rFonts w:eastAsia="Times New Roman" w:cs="Times New Roman"/>
          <w:szCs w:val="24"/>
          <w:lang w:eastAsia="lv-LV"/>
        </w:rPr>
        <w:t xml:space="preserve">* Pētījuma klasifikācijas grupa atbilstoši Ministru kabineta 2013.gada 3.janvāra noteikumu Nr.1 "Kārtība, kādā publiska persona </w:t>
      </w:r>
      <w:proofErr w:type="spellStart"/>
      <w:r w:rsidRPr="007100FF">
        <w:rPr>
          <w:rFonts w:eastAsia="Times New Roman" w:cs="Times New Roman"/>
          <w:szCs w:val="24"/>
          <w:lang w:eastAsia="lv-LV"/>
        </w:rPr>
        <w:t>pasūta</w:t>
      </w:r>
      <w:proofErr w:type="spellEnd"/>
      <w:r w:rsidRPr="007100FF">
        <w:rPr>
          <w:rFonts w:eastAsia="Times New Roman" w:cs="Times New Roman"/>
          <w:szCs w:val="24"/>
          <w:lang w:eastAsia="lv-LV"/>
        </w:rPr>
        <w:t xml:space="preserve"> pētījumus"</w:t>
      </w:r>
      <w:hyperlink r:id="rId4" w:anchor="n2" w:history="1">
        <w:r w:rsidRPr="007100FF">
          <w:rPr>
            <w:rFonts w:eastAsia="Times New Roman" w:cs="Times New Roman"/>
            <w:color w:val="0000FF"/>
            <w:szCs w:val="24"/>
            <w:u w:val="single"/>
            <w:lang w:eastAsia="lv-LV"/>
          </w:rPr>
          <w:t xml:space="preserve"> II nodaļai</w:t>
        </w:r>
      </w:hyperlink>
      <w:r w:rsidRPr="007100FF">
        <w:rPr>
          <w:rFonts w:eastAsia="Times New Roman" w:cs="Times New Roman"/>
          <w:szCs w:val="24"/>
          <w:lang w:eastAsia="lv-LV"/>
        </w:rPr>
        <w:t>.</w:t>
      </w:r>
    </w:p>
    <w:p w14:paraId="445B9C0D" w14:textId="77777777" w:rsidR="007100FF" w:rsidRPr="007100FF" w:rsidRDefault="007100FF" w:rsidP="007100FF">
      <w:pPr>
        <w:spacing w:before="100" w:beforeAutospacing="1" w:after="100" w:afterAutospacing="1"/>
        <w:rPr>
          <w:rFonts w:eastAsia="Times New Roman" w:cs="Times New Roman"/>
          <w:szCs w:val="24"/>
          <w:lang w:eastAsia="lv-LV"/>
        </w:rPr>
      </w:pPr>
      <w:r w:rsidRPr="007100FF">
        <w:rPr>
          <w:rFonts w:eastAsia="Times New Roman" w:cs="Times New Roman"/>
          <w:szCs w:val="24"/>
          <w:lang w:eastAsia="lv-LV"/>
        </w:rPr>
        <w:t>** Politikas joma un nozare atbilstoši Ministru kabineta 2009.gada 7.aprīļa noteikumu Nr.300 "</w:t>
      </w:r>
      <w:hyperlink r:id="rId5" w:tgtFrame="_blank" w:history="1">
        <w:r w:rsidRPr="007100FF">
          <w:rPr>
            <w:rFonts w:eastAsia="Times New Roman" w:cs="Times New Roman"/>
            <w:color w:val="0000FF"/>
            <w:szCs w:val="24"/>
            <w:u w:val="single"/>
            <w:lang w:eastAsia="lv-LV"/>
          </w:rPr>
          <w:t>Ministru kabineta kārtības rullis</w:t>
        </w:r>
      </w:hyperlink>
      <w:r w:rsidRPr="007100FF">
        <w:rPr>
          <w:rFonts w:eastAsia="Times New Roman" w:cs="Times New Roman"/>
          <w:szCs w:val="24"/>
          <w:lang w:eastAsia="lv-LV"/>
        </w:rPr>
        <w:t xml:space="preserve">" </w:t>
      </w:r>
      <w:hyperlink r:id="rId6" w:anchor="piel3" w:tgtFrame="_blank" w:history="1">
        <w:r w:rsidRPr="007100FF">
          <w:rPr>
            <w:rFonts w:eastAsia="Times New Roman" w:cs="Times New Roman"/>
            <w:color w:val="0000FF"/>
            <w:szCs w:val="24"/>
            <w:u w:val="single"/>
            <w:lang w:eastAsia="lv-LV"/>
          </w:rPr>
          <w:t>3.pielikumam</w:t>
        </w:r>
      </w:hyperlink>
      <w:r w:rsidRPr="007100FF">
        <w:rPr>
          <w:rFonts w:eastAsia="Times New Roman" w:cs="Times New Roman"/>
          <w:szCs w:val="24"/>
          <w:lang w:eastAsia="lv-LV"/>
        </w:rPr>
        <w:t>.</w:t>
      </w:r>
    </w:p>
    <w:p w14:paraId="5206D374" w14:textId="5684169C" w:rsidR="009A59EA" w:rsidRPr="005020FB" w:rsidRDefault="007100FF" w:rsidP="005020FB">
      <w:pPr>
        <w:spacing w:before="100" w:beforeAutospacing="1" w:after="100" w:afterAutospacing="1"/>
        <w:rPr>
          <w:rFonts w:eastAsia="Times New Roman" w:cs="Times New Roman"/>
          <w:szCs w:val="24"/>
          <w:lang w:eastAsia="lv-LV"/>
        </w:rPr>
      </w:pPr>
      <w:r w:rsidRPr="007100FF">
        <w:rPr>
          <w:rFonts w:eastAsia="Times New Roman" w:cs="Times New Roman"/>
          <w:szCs w:val="24"/>
          <w:lang w:eastAsia="lv-LV"/>
        </w:rPr>
        <w:t>*** Atbilstoši pētījuma īstenotāja sniegtajai informācijai.</w:t>
      </w:r>
    </w:p>
    <w:sectPr w:rsidR="009A59EA" w:rsidRPr="005020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FF"/>
    <w:rsid w:val="00083491"/>
    <w:rsid w:val="000B4610"/>
    <w:rsid w:val="001D3F4A"/>
    <w:rsid w:val="0021582E"/>
    <w:rsid w:val="0022384B"/>
    <w:rsid w:val="00294170"/>
    <w:rsid w:val="002B5501"/>
    <w:rsid w:val="00417FFC"/>
    <w:rsid w:val="00436E0B"/>
    <w:rsid w:val="004F3EBB"/>
    <w:rsid w:val="005020FB"/>
    <w:rsid w:val="0059078B"/>
    <w:rsid w:val="005C4F3A"/>
    <w:rsid w:val="005E2D83"/>
    <w:rsid w:val="00607D19"/>
    <w:rsid w:val="0064138F"/>
    <w:rsid w:val="0065227E"/>
    <w:rsid w:val="00654477"/>
    <w:rsid w:val="007100FF"/>
    <w:rsid w:val="007C1B80"/>
    <w:rsid w:val="0086412A"/>
    <w:rsid w:val="008F522B"/>
    <w:rsid w:val="009A59EA"/>
    <w:rsid w:val="00A27409"/>
    <w:rsid w:val="00B252E6"/>
    <w:rsid w:val="00C93007"/>
    <w:rsid w:val="00C93ACE"/>
    <w:rsid w:val="00D459E8"/>
    <w:rsid w:val="00D56F76"/>
    <w:rsid w:val="00DA140C"/>
    <w:rsid w:val="00DB4E84"/>
    <w:rsid w:val="00DC4900"/>
    <w:rsid w:val="00E01623"/>
    <w:rsid w:val="00E0774E"/>
    <w:rsid w:val="00E24C86"/>
    <w:rsid w:val="00E36EE5"/>
    <w:rsid w:val="00E64010"/>
    <w:rsid w:val="00EB0FAB"/>
    <w:rsid w:val="00EF52FE"/>
    <w:rsid w:val="00F025E9"/>
    <w:rsid w:val="00F22A47"/>
    <w:rsid w:val="00F82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14C1"/>
  <w15:chartTrackingRefBased/>
  <w15:docId w15:val="{CD80317A-5155-4CA8-A24D-9601F43D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E6"/>
    <w:pPr>
      <w:spacing w:before="240" w:after="240" w:line="240" w:lineRule="auto"/>
    </w:pPr>
  </w:style>
  <w:style w:type="paragraph" w:styleId="Heading1">
    <w:name w:val="heading 1"/>
    <w:basedOn w:val="Normal"/>
    <w:next w:val="Normal"/>
    <w:link w:val="Heading1Char"/>
    <w:autoRedefine/>
    <w:qFormat/>
    <w:rsid w:val="0021582E"/>
    <w:pPr>
      <w:keepNext/>
      <w:keepLines/>
      <w:outlineLvl w:val="0"/>
    </w:pPr>
    <w:rPr>
      <w:rFonts w:eastAsiaTheme="majorEastAsia" w:cstheme="majorBidi"/>
      <w:b/>
      <w:spacing w:val="-4"/>
      <w:sz w:val="26"/>
      <w:szCs w:val="32"/>
    </w:rPr>
  </w:style>
  <w:style w:type="paragraph" w:styleId="Heading2">
    <w:name w:val="heading 2"/>
    <w:basedOn w:val="Normal"/>
    <w:next w:val="Normal"/>
    <w:link w:val="Heading2Char"/>
    <w:autoRedefine/>
    <w:uiPriority w:val="9"/>
    <w:semiHidden/>
    <w:unhideWhenUsed/>
    <w:qFormat/>
    <w:rsid w:val="0021582E"/>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1582E"/>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21582E"/>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82E"/>
    <w:rPr>
      <w:rFonts w:ascii="Times New Roman" w:eastAsiaTheme="majorEastAsia" w:hAnsi="Times New Roman" w:cstheme="majorBidi"/>
      <w:b/>
      <w:spacing w:val="-4"/>
      <w:sz w:val="26"/>
      <w:szCs w:val="32"/>
    </w:rPr>
  </w:style>
  <w:style w:type="character" w:customStyle="1" w:styleId="Heading2Char">
    <w:name w:val="Heading 2 Char"/>
    <w:basedOn w:val="DefaultParagraphFont"/>
    <w:link w:val="Heading2"/>
    <w:uiPriority w:val="9"/>
    <w:semiHidden/>
    <w:rsid w:val="0021582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1582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21582E"/>
    <w:rPr>
      <w:rFonts w:ascii="Times New Roman" w:eastAsiaTheme="majorEastAsia" w:hAnsi="Times New Roman" w:cstheme="majorBidi"/>
      <w:i/>
      <w:iCs/>
      <w:sz w:val="24"/>
    </w:rPr>
  </w:style>
  <w:style w:type="paragraph" w:styleId="BalloonText">
    <w:name w:val="Balloon Text"/>
    <w:basedOn w:val="Normal"/>
    <w:link w:val="BalloonTextChar"/>
    <w:uiPriority w:val="99"/>
    <w:semiHidden/>
    <w:unhideWhenUsed/>
    <w:rsid w:val="00F825A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A0"/>
    <w:rPr>
      <w:rFonts w:ascii="Segoe UI" w:hAnsi="Segoe UI" w:cs="Segoe UI"/>
      <w:sz w:val="18"/>
      <w:szCs w:val="18"/>
    </w:rPr>
  </w:style>
  <w:style w:type="character" w:customStyle="1" w:styleId="s-rg">
    <w:name w:val="s-rg"/>
    <w:basedOn w:val="DefaultParagraphFont"/>
    <w:rsid w:val="00607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521419">
      <w:bodyDiv w:val="1"/>
      <w:marLeft w:val="0"/>
      <w:marRight w:val="0"/>
      <w:marTop w:val="0"/>
      <w:marBottom w:val="0"/>
      <w:divBdr>
        <w:top w:val="none" w:sz="0" w:space="0" w:color="auto"/>
        <w:left w:val="none" w:sz="0" w:space="0" w:color="auto"/>
        <w:bottom w:val="none" w:sz="0" w:space="0" w:color="auto"/>
        <w:right w:val="none" w:sz="0" w:space="0" w:color="auto"/>
      </w:divBdr>
    </w:div>
    <w:div w:id="1162280962">
      <w:bodyDiv w:val="1"/>
      <w:marLeft w:val="0"/>
      <w:marRight w:val="0"/>
      <w:marTop w:val="0"/>
      <w:marBottom w:val="0"/>
      <w:divBdr>
        <w:top w:val="none" w:sz="0" w:space="0" w:color="auto"/>
        <w:left w:val="none" w:sz="0" w:space="0" w:color="auto"/>
        <w:bottom w:val="none" w:sz="0" w:space="0" w:color="auto"/>
        <w:right w:val="none" w:sz="0" w:space="0" w:color="auto"/>
      </w:divBdr>
      <w:divsChild>
        <w:div w:id="750977825">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
      </w:divsChild>
    </w:div>
    <w:div w:id="1444423401">
      <w:bodyDiv w:val="1"/>
      <w:marLeft w:val="0"/>
      <w:marRight w:val="0"/>
      <w:marTop w:val="0"/>
      <w:marBottom w:val="0"/>
      <w:divBdr>
        <w:top w:val="none" w:sz="0" w:space="0" w:color="auto"/>
        <w:left w:val="none" w:sz="0" w:space="0" w:color="auto"/>
        <w:bottom w:val="none" w:sz="0" w:space="0" w:color="auto"/>
        <w:right w:val="none" w:sz="0" w:space="0" w:color="auto"/>
      </w:divBdr>
    </w:div>
    <w:div w:id="1806925818">
      <w:bodyDiv w:val="1"/>
      <w:marLeft w:val="0"/>
      <w:marRight w:val="0"/>
      <w:marTop w:val="0"/>
      <w:marBottom w:val="0"/>
      <w:divBdr>
        <w:top w:val="none" w:sz="0" w:space="0" w:color="auto"/>
        <w:left w:val="none" w:sz="0" w:space="0" w:color="auto"/>
        <w:bottom w:val="none" w:sz="0" w:space="0" w:color="auto"/>
        <w:right w:val="none" w:sz="0" w:space="0" w:color="auto"/>
      </w:divBdr>
      <w:divsChild>
        <w:div w:id="659847427">
          <w:marLeft w:val="0"/>
          <w:marRight w:val="0"/>
          <w:marTop w:val="0"/>
          <w:marBottom w:val="0"/>
          <w:divBdr>
            <w:top w:val="none" w:sz="0" w:space="0" w:color="auto"/>
            <w:left w:val="none" w:sz="0" w:space="0" w:color="auto"/>
            <w:bottom w:val="none" w:sz="0" w:space="0" w:color="auto"/>
            <w:right w:val="none" w:sz="0" w:space="0" w:color="auto"/>
          </w:divBdr>
        </w:div>
        <w:div w:id="54383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190612-ministru-kabineta-kartibas-rullis" TargetMode="External"/><Relationship Id="rId5" Type="http://schemas.openxmlformats.org/officeDocument/2006/relationships/hyperlink" Target="https://likumi.lv/ta/id/190612-ministru-kabineta-kartibas-rullis" TargetMode="External"/><Relationship Id="rId4" Type="http://schemas.openxmlformats.org/officeDocument/2006/relationships/hyperlink" Target="https://likumi.lv/ta/id/253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3683</Words>
  <Characters>2100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dc:creator>
  <cp:keywords/>
  <dc:description/>
  <cp:lastModifiedBy>Simona Pētersone</cp:lastModifiedBy>
  <cp:revision>2</cp:revision>
  <dcterms:created xsi:type="dcterms:W3CDTF">2020-07-09T13:18:00Z</dcterms:created>
  <dcterms:modified xsi:type="dcterms:W3CDTF">2020-07-09T13:18:00Z</dcterms:modified>
</cp:coreProperties>
</file>